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/>
        <w:drawing>
          <wp:inline distB="114300" distT="114300" distL="114300" distR="114300">
            <wp:extent cx="5943600" cy="143351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335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Name: ____________________________</w:t>
      </w:r>
    </w:p>
    <w:p w:rsidR="00000000" w:rsidDel="00000000" w:rsidP="00000000" w:rsidRDefault="00000000" w:rsidRPr="00000000" w14:paraId="00000002">
      <w:pPr>
        <w:ind w:left="4320" w:firstLine="720"/>
        <w:jc w:val="center"/>
        <w:rPr/>
      </w:pPr>
      <w:r w:rsidDel="00000000" w:rsidR="00000000" w:rsidRPr="00000000">
        <w:rPr>
          <w:rtl w:val="0"/>
        </w:rPr>
        <w:t xml:space="preserve"> Date: ____________________________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Reflect upon the scenario you just observed with Mr. Wells and the caregiver of his seven-month-old daughter and answer the following questions.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do you think Mr. Wells, the father, was feeling about the care his daughter received from the caregiver? Give evidence to support your answer.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do you think the caregiver was feeling? Give evidence to support your answer.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Give five examples of how tracking the infant’s daily schedule would have been beneficial for the infant, parent/guardian, and caregiver in this scenario.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GROUP WORK: What other questions would a parent/guardian ask of a caregiver that would be beneficial for the health, well-being, and care of an infant/toddler?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GROUP WORK: Use the information from this worksheet and Infant/Toddler Schedule I to create a tracking and scheduling chart that a caregiver and/or parent/guardian can use to identify an infant’s/toddler’s schedule.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